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60" w:before="240"/>
      </w:pPr>
      <w:r>
        <w:t xml:space="preserve">Styrelsens kompetensmatris</w:t>
      </w:r>
    </w:p>
    <w:p>
      <w:pPr>
        <w:spacing w:after="140"/>
        <w:jc w:val="left"/>
      </w:pPr>
      <w:r>
        <w:t xml:space="preserve">[Organisationens namn] (org.nr [xxxxxx-xxxx], om organisationen har ett)</w:t>
      </w:r>
    </w:p>
    <w:p>
      <w:pPr>
        <w:spacing w:after="140"/>
        <w:jc w:val="left"/>
      </w:pPr>
      <w:r>
        <w:t xml:space="preserve">Framtagen av [namn eller organ], datum [ÅÅÅÅ-MM-DD]</w:t>
      </w:r>
    </w:p>
    <w:p>
      <w:pPr>
        <w:pStyle w:val="Heading2"/>
        <w:spacing w:after="120" w:before="220"/>
      </w:pPr>
      <w:r>
        <w:t xml:space="preserve">1. Strategiska utgångspunkter</w:t>
      </w:r>
    </w:p>
    <w:p>
      <w:pPr>
        <w:spacing w:after="140"/>
        <w:jc w:val="left"/>
      </w:pPr>
      <w:r>
        <w:t xml:space="preserve">Fyll i det här avsnittet först. Det avgör vilka kompetensområden som är relevanta i nästa.</w:t>
      </w:r>
    </w:p>
    <w:p>
      <w:pPr>
        <w:spacing w:after="140"/>
        <w:jc w:val="left"/>
      </w:pPr>
      <w:r>
        <w:rPr>
          <w:b/>
          <w:bCs/>
        </w:rPr>
        <w:t xml:space="preserve">Organisationens viktigaste strategiska prioriteringar de kommande tre till fem åren</w:t>
      </w:r>
    </w:p>
    <w:p>
      <w:pPr>
        <w:pStyle w:val="ListParagraph"/>
        <w:numPr>
          <w:ilvl w:val="0"/>
          <w:numId w:val="2"/>
        </w:numPr>
        <w:spacing w:after="60"/>
      </w:pPr>
      <w:r>
        <w:t xml:space="preserve">[Skriv här]</w:t>
      </w:r>
    </w:p>
    <w:p>
      <w:pPr>
        <w:pStyle w:val="ListParagraph"/>
        <w:numPr>
          <w:ilvl w:val="0"/>
          <w:numId w:val="2"/>
        </w:numPr>
        <w:spacing w:after="60"/>
      </w:pPr>
      <w:r>
        <w:t xml:space="preserve">[Skriv här]</w:t>
      </w:r>
    </w:p>
    <w:p>
      <w:pPr>
        <w:pStyle w:val="ListParagraph"/>
        <w:numPr>
          <w:ilvl w:val="0"/>
          <w:numId w:val="2"/>
        </w:numPr>
        <w:spacing w:after="60"/>
      </w:pPr>
      <w:r>
        <w:t xml:space="preserve">[Skriv här]</w:t>
      </w:r>
    </w:p>
    <w:p>
      <w:pPr>
        <w:pStyle w:val="ListParagraph"/>
        <w:numPr>
          <w:ilvl w:val="0"/>
          <w:numId w:val="2"/>
        </w:numPr>
        <w:spacing w:after="60"/>
      </w:pPr>
      <w:r>
        <w:t xml:space="preserve">[Skriv här]</w:t>
      </w:r>
    </w:p>
    <w:p>
      <w:pPr>
        <w:spacing w:after="140"/>
        <w:jc w:val="left"/>
      </w:pPr>
      <w:r>
        <w:rPr>
          <w:b/>
          <w:bCs/>
        </w:rPr>
        <w:t xml:space="preserve">Viktigaste förändringar eller risker som påverkar kompetensbehovet</w:t>
      </w:r>
    </w:p>
    <w:p>
      <w:pPr>
        <w:pStyle w:val="ListParagraph"/>
        <w:numPr>
          <w:ilvl w:val="0"/>
          <w:numId w:val="1"/>
        </w:numPr>
        <w:spacing w:after="60"/>
      </w:pPr>
      <w:r>
        <w:t xml:space="preserve">[Skriv här]</w:t>
      </w:r>
    </w:p>
    <w:p>
      <w:pPr>
        <w:pStyle w:val="ListParagraph"/>
        <w:numPr>
          <w:ilvl w:val="0"/>
          <w:numId w:val="1"/>
        </w:numPr>
        <w:spacing w:after="60"/>
      </w:pPr>
      <w:r>
        <w:t xml:space="preserve">[Skriv här]</w:t>
      </w:r>
    </w:p>
    <w:p>
      <w:pPr>
        <w:pStyle w:val="ListParagraph"/>
        <w:numPr>
          <w:ilvl w:val="0"/>
          <w:numId w:val="1"/>
        </w:numPr>
        <w:spacing w:after="60"/>
      </w:pPr>
      <w:r>
        <w:t xml:space="preserve">[Skriv här]</w:t>
      </w:r>
    </w:p>
    <w:p>
      <w:pPr>
        <w:pStyle w:val="Heading2"/>
        <w:spacing w:after="120" w:before="220"/>
      </w:pPr>
      <w:r>
        <w:t xml:space="preserve">2. Prioriterade kompetenser</w:t>
      </w:r>
    </w:p>
    <w:p>
      <w:pPr>
        <w:spacing w:after="140"/>
        <w:jc w:val="left"/>
      </w:pPr>
      <w:r>
        <w:t xml:space="preserve">Anpassa raderna efter organisationens verkliga behov. Stryk det som inte gäller er, lägg till det som saknas. Lägg till kolumner om styrelsen har fler än fyra ledamöter.</w:t>
      </w:r>
    </w:p>
    <w:p>
      <w:pPr>
        <w:spacing w:after="140"/>
        <w:jc w:val="left"/>
      </w:pPr>
      <w:r>
        <w:t xml:space="preserve">Gör rubrikerna konkreta. Ska ni etablera er utomlands säger "etablering i Tyskland" mer än "internationalisering".</w:t>
      </w:r>
    </w:p>
    <w:tbl>
      <w:tblPr>
        <w:tblW w:type="pct" w:w="100%"/>
        <w:tblBorders>
          <w:top w:val="single" w:color="BFBFBF" w:sz="2"/>
          <w:left w:val="single" w:color="BFBFBF" w:sz="2"/>
          <w:bottom w:val="single" w:color="BFBFBF" w:sz="2"/>
          <w:right w:val="single" w:color="BFBFBF" w:sz="2"/>
          <w:insideH w:val="single" w:color="BFBFBF" w:sz="2"/>
          <w:insideV w:val="single" w:color="BFBFBF" w:sz="2"/>
        </w:tblBorders>
      </w:tblPr>
      <w:tblGrid>
        <w:gridCol w:w="1289"/>
        <w:gridCol w:w="1289"/>
        <w:gridCol w:w="1289"/>
        <w:gridCol w:w="1289"/>
        <w:gridCol w:w="1289"/>
        <w:gridCol w:w="1289"/>
        <w:gridCol w:w="1289"/>
      </w:tblGrid>
      <w:tr>
        <w:trPr>
          <w:tblHeader/>
        </w:trPr>
        <w:tc>
          <w:tcPr>
            <w:shd w:fill="F2F2F2"/>
            <w:tcMar>
              <w:top w:type="dxa" w:w="60"/>
              <w:left w:type="dxa" w:w="100"/>
              <w:bottom w:type="dxa" w:w="60"/>
              <w:right w:type="dxa" w:w="100"/>
            </w:tcMar>
          </w:tcPr>
          <w:p>
            <w:pPr>
              <w:spacing w:after="0"/>
              <w:jc w:val="left"/>
            </w:pPr>
            <w:r>
              <w:rPr>
                <w:b/>
                <w:bCs/>
              </w:rPr>
              <w:t xml:space="preserve">Kompetens eller erfarenhet</w:t>
            </w:r>
          </w:p>
        </w:tc>
        <w:tc>
          <w:tcPr>
            <w:shd w:fill="F2F2F2"/>
            <w:tcMar>
              <w:top w:type="dxa" w:w="60"/>
              <w:left w:type="dxa" w:w="100"/>
              <w:bottom w:type="dxa" w:w="60"/>
              <w:right w:type="dxa" w:w="100"/>
            </w:tcMar>
          </w:tcPr>
          <w:p>
            <w:pPr>
              <w:spacing w:after="0"/>
              <w:jc w:val="left"/>
            </w:pPr>
            <w:r>
              <w:rPr>
                <w:b/>
                <w:bCs/>
              </w:rPr>
              <w:t xml:space="preserve">Betydelse 1–5, där 5 är högst</w:t>
            </w:r>
          </w:p>
        </w:tc>
        <w:tc>
          <w:tcPr>
            <w:shd w:fill="F2F2F2"/>
            <w:tcMar>
              <w:top w:type="dxa" w:w="60"/>
              <w:left w:type="dxa" w:w="100"/>
              <w:bottom w:type="dxa" w:w="60"/>
              <w:right w:type="dxa" w:w="100"/>
            </w:tcMar>
          </w:tcPr>
          <w:p>
            <w:pPr>
              <w:spacing w:after="0"/>
              <w:jc w:val="left"/>
            </w:pPr>
            <w:r>
              <w:rPr>
                <w:b/>
                <w:bCs/>
              </w:rPr>
              <w:t xml:space="preserve">Ledamot A</w:t>
            </w:r>
          </w:p>
        </w:tc>
        <w:tc>
          <w:tcPr>
            <w:shd w:fill="F2F2F2"/>
            <w:tcMar>
              <w:top w:type="dxa" w:w="60"/>
              <w:left w:type="dxa" w:w="100"/>
              <w:bottom w:type="dxa" w:w="60"/>
              <w:right w:type="dxa" w:w="100"/>
            </w:tcMar>
          </w:tcPr>
          <w:p>
            <w:pPr>
              <w:spacing w:after="0"/>
              <w:jc w:val="left"/>
            </w:pPr>
            <w:r>
              <w:rPr>
                <w:b/>
                <w:bCs/>
              </w:rPr>
              <w:t xml:space="preserve">Ledamot B</w:t>
            </w:r>
          </w:p>
        </w:tc>
        <w:tc>
          <w:tcPr>
            <w:shd w:fill="F2F2F2"/>
            <w:tcMar>
              <w:top w:type="dxa" w:w="60"/>
              <w:left w:type="dxa" w:w="100"/>
              <w:bottom w:type="dxa" w:w="60"/>
              <w:right w:type="dxa" w:w="100"/>
            </w:tcMar>
          </w:tcPr>
          <w:p>
            <w:pPr>
              <w:spacing w:after="0"/>
              <w:jc w:val="left"/>
            </w:pPr>
            <w:r>
              <w:rPr>
                <w:b/>
                <w:bCs/>
              </w:rPr>
              <w:t xml:space="preserve">Ledamot C</w:t>
            </w:r>
          </w:p>
        </w:tc>
        <w:tc>
          <w:tcPr>
            <w:shd w:fill="F2F2F2"/>
            <w:tcMar>
              <w:top w:type="dxa" w:w="60"/>
              <w:left w:type="dxa" w:w="100"/>
              <w:bottom w:type="dxa" w:w="60"/>
              <w:right w:type="dxa" w:w="100"/>
            </w:tcMar>
          </w:tcPr>
          <w:p>
            <w:pPr>
              <w:spacing w:after="0"/>
              <w:jc w:val="left"/>
            </w:pPr>
            <w:r>
              <w:rPr>
                <w:b/>
                <w:bCs/>
              </w:rPr>
              <w:t xml:space="preserve">Ledamot D</w:t>
            </w:r>
          </w:p>
        </w:tc>
        <w:tc>
          <w:tcPr>
            <w:shd w:fill="F2F2F2"/>
            <w:tcMar>
              <w:top w:type="dxa" w:w="60"/>
              <w:left w:type="dxa" w:w="100"/>
              <w:bottom w:type="dxa" w:w="60"/>
              <w:right w:type="dxa" w:w="100"/>
            </w:tcMar>
          </w:tcPr>
          <w:p>
            <w:pPr>
              <w:spacing w:after="0"/>
              <w:jc w:val="left"/>
            </w:pPr>
            <w:r>
              <w:rPr>
                <w:b/>
                <w:bCs/>
              </w:rPr>
              <w:t xml:space="preserve">Gap eller kommentar</w:t>
            </w:r>
          </w:p>
        </w:tc>
      </w:tr>
      <w:tr>
        <w:trPr>
          <w:tblHeader w:val="false"/>
        </w:trPr>
        <w:tc>
          <w:tcPr>
            <w:tcMar>
              <w:top w:type="dxa" w:w="60"/>
              <w:left w:type="dxa" w:w="100"/>
              <w:bottom w:type="dxa" w:w="60"/>
              <w:right w:type="dxa" w:w="100"/>
            </w:tcMar>
          </w:tcPr>
          <w:p>
            <w:pPr>
              <w:spacing w:after="0"/>
              <w:jc w:val="left"/>
            </w:pPr>
            <w:r>
              <w:t xml:space="preserve">Verksamhet eller bransch</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Strategi och affärsutveckling</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Ekonomi och redovisning</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Finansiering och kapital</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Försäljning, marknad och kund</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Internationalisering</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Digitalisering och AI</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IT och cybersäkerhet</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HR, organisation och ledarskap</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Förvärv och integration</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Juridik och reglering</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Hållbarhet</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Annat: [beskriv]</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bl>
    <w:p>
      <w:pPr>
        <w:spacing w:after="140"/>
      </w:pPr>
    </w:p>
    <w:p>
      <w:pPr>
        <w:spacing w:after="140"/>
        <w:jc w:val="left"/>
      </w:pPr>
      <w:r>
        <w:rPr>
          <w:b/>
          <w:bCs/>
        </w:rPr>
        <w:t xml:space="preserve">Förslag på skala per ledamot:</w:t>
      </w:r>
      <w:r>
        <w:t xml:space="preserve"> 0 saknas, 1 grundläggande förståelse, 2 praktisk erfarenhet, 3 djup erfarenhet.</w:t>
      </w:r>
    </w:p>
    <w:p>
      <w:pPr>
        <w:spacing w:after="140"/>
        <w:jc w:val="left"/>
      </w:pPr>
      <w:r>
        <w:t xml:space="preserve">Bestäm före bedömningen vem som sätter värdena och vilket underlag som används. Använd samma bedömningsgrund för alla ledamöter. Markera ett kompetensgap när en högt prioriterad kompetens saknas eller är otillräckligt täckt. Notera separat om kompetensen bara finns hos en ledamot. Det är ett personberoende, inte nödvändigtvis ett kompetensgap. Summera inte värdena till en totalpoäng per person.</w:t>
      </w:r>
    </w:p>
    <w:p>
      <w:pPr>
        <w:pStyle w:val="Heading2"/>
        <w:spacing w:after="120" w:before="220"/>
      </w:pPr>
      <w:r>
        <w:t xml:space="preserve">3. Övriga egenskaper och förutsättningar</w:t>
      </w:r>
    </w:p>
    <w:p>
      <w:pPr>
        <w:spacing w:after="140"/>
        <w:jc w:val="left"/>
      </w:pPr>
      <w:r>
        <w:t xml:space="preserve">Bedöm även det som en kompetenstabell inte fångar.</w:t>
      </w:r>
    </w:p>
    <w:tbl>
      <w:tblPr>
        <w:tblW w:type="pct" w:w="100%"/>
        <w:tblBorders>
          <w:top w:val="single" w:color="BFBFBF" w:sz="2"/>
          <w:left w:val="single" w:color="BFBFBF" w:sz="2"/>
          <w:bottom w:val="single" w:color="BFBFBF" w:sz="2"/>
          <w:right w:val="single" w:color="BFBFBF" w:sz="2"/>
          <w:insideH w:val="single" w:color="BFBFBF" w:sz="2"/>
          <w:insideV w:val="single" w:color="BFBFBF" w:sz="2"/>
        </w:tblBorders>
      </w:tblPr>
      <w:tblGrid>
        <w:gridCol w:w="3008"/>
        <w:gridCol w:w="3008"/>
        <w:gridCol w:w="3008"/>
      </w:tblGrid>
      <w:tr>
        <w:trPr>
          <w:tblHeader/>
        </w:trPr>
        <w:tc>
          <w:tcPr>
            <w:shd w:fill="F2F2F2"/>
            <w:tcMar>
              <w:top w:type="dxa" w:w="60"/>
              <w:left w:type="dxa" w:w="100"/>
              <w:bottom w:type="dxa" w:w="60"/>
              <w:right w:type="dxa" w:w="100"/>
            </w:tcMar>
          </w:tcPr>
          <w:p>
            <w:pPr>
              <w:spacing w:after="0"/>
              <w:jc w:val="left"/>
            </w:pPr>
            <w:r>
              <w:rPr>
                <w:b/>
                <w:bCs/>
              </w:rPr>
              <w:t xml:space="preserve">Egenskap</w:t>
            </w:r>
          </w:p>
        </w:tc>
        <w:tc>
          <w:tcPr>
            <w:shd w:fill="F2F2F2"/>
            <w:tcMar>
              <w:top w:type="dxa" w:w="60"/>
              <w:left w:type="dxa" w:w="100"/>
              <w:bottom w:type="dxa" w:w="60"/>
              <w:right w:type="dxa" w:w="100"/>
            </w:tcMar>
          </w:tcPr>
          <w:p>
            <w:pPr>
              <w:spacing w:after="0"/>
              <w:jc w:val="left"/>
            </w:pPr>
            <w:r>
              <w:rPr>
                <w:b/>
                <w:bCs/>
              </w:rPr>
              <w:t xml:space="preserve">Bedömning: god, tillräcklig eller svag</w:t>
            </w:r>
          </w:p>
        </w:tc>
        <w:tc>
          <w:tcPr>
            <w:shd w:fill="F2F2F2"/>
            <w:tcMar>
              <w:top w:type="dxa" w:w="60"/>
              <w:left w:type="dxa" w:w="100"/>
              <w:bottom w:type="dxa" w:w="60"/>
              <w:right w:type="dxa" w:w="100"/>
            </w:tcMar>
          </w:tcPr>
          <w:p>
            <w:pPr>
              <w:spacing w:after="0"/>
              <w:jc w:val="left"/>
            </w:pPr>
            <w:r>
              <w:rPr>
                <w:b/>
                <w:bCs/>
              </w:rPr>
              <w:t xml:space="preserve">Kommentar</w:t>
            </w:r>
          </w:p>
        </w:tc>
      </w:tr>
      <w:tr>
        <w:trPr>
          <w:tblHeader w:val="false"/>
        </w:trPr>
        <w:tc>
          <w:tcPr>
            <w:tcMar>
              <w:top w:type="dxa" w:w="60"/>
              <w:left w:type="dxa" w:w="100"/>
              <w:bottom w:type="dxa" w:w="60"/>
              <w:right w:type="dxa" w:w="100"/>
            </w:tcMar>
          </w:tcPr>
          <w:p>
            <w:pPr>
              <w:spacing w:after="0"/>
              <w:jc w:val="left"/>
            </w:pPr>
            <w:r>
              <w:t xml:space="preserve">Omdöme och integritet</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Förmåga att utmana konstruktivt</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Samarbetsförmåga och lyssnande</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Oberoende perspektiv</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Tillgänglig tid och engagemang</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Förståelse för ägare, medlemmar, huvudmän eller ändamål</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Bredd i erfarenheter och perspektiv</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bl>
    <w:p>
      <w:pPr>
        <w:spacing w:after="140"/>
      </w:pPr>
    </w:p>
    <w:p>
      <w:pPr>
        <w:pStyle w:val="Heading2"/>
        <w:spacing w:after="120" w:before="220"/>
      </w:pPr>
      <w:r>
        <w:t xml:space="preserve">4. Slutsatser</w:t>
      </w:r>
    </w:p>
    <w:p>
      <w:pPr>
        <w:spacing w:after="140"/>
        <w:jc w:val="left"/>
      </w:pPr>
      <w:r>
        <w:rPr>
          <w:b/>
          <w:bCs/>
        </w:rPr>
        <w:t xml:space="preserve">Våra tre viktigaste kompetensgap</w:t>
      </w:r>
    </w:p>
    <w:p>
      <w:pPr>
        <w:pStyle w:val="ListParagraph"/>
        <w:numPr>
          <w:ilvl w:val="0"/>
          <w:numId w:val="3"/>
        </w:numPr>
        <w:spacing w:after="60"/>
      </w:pPr>
      <w:r>
        <w:t xml:space="preserve">[Skriv här]</w:t>
      </w:r>
    </w:p>
    <w:p>
      <w:pPr>
        <w:pStyle w:val="ListParagraph"/>
        <w:numPr>
          <w:ilvl w:val="0"/>
          <w:numId w:val="3"/>
        </w:numPr>
        <w:spacing w:after="60"/>
      </w:pPr>
      <w:r>
        <w:t xml:space="preserve">[Skriv här]</w:t>
      </w:r>
    </w:p>
    <w:p>
      <w:pPr>
        <w:pStyle w:val="ListParagraph"/>
        <w:numPr>
          <w:ilvl w:val="0"/>
          <w:numId w:val="3"/>
        </w:numPr>
        <w:spacing w:after="60"/>
      </w:pPr>
      <w:r>
        <w:t xml:space="preserve">[Skriv här]</w:t>
      </w:r>
    </w:p>
    <w:p>
      <w:pPr>
        <w:spacing w:after="140"/>
        <w:jc w:val="left"/>
      </w:pPr>
      <w:r>
        <w:rPr>
          <w:b/>
          <w:bCs/>
        </w:rPr>
        <w:t xml:space="preserve">Gap som kan hanteras genom att utveckla den sittande styrelsen</w:t>
      </w:r>
    </w:p>
    <w:p>
      <w:pPr>
        <w:spacing w:after="140"/>
        <w:jc w:val="left"/>
      </w:pPr>
      <w:r>
        <w:t xml:space="preserve">[Skriv här]</w:t>
      </w:r>
    </w:p>
    <w:p>
      <w:pPr>
        <w:spacing w:after="140"/>
        <w:jc w:val="left"/>
      </w:pPr>
      <w:r>
        <w:rPr>
          <w:b/>
          <w:bCs/>
        </w:rPr>
        <w:t xml:space="preserve">Gap som bör påverka nästa rekrytering</w:t>
      </w:r>
    </w:p>
    <w:p>
      <w:pPr>
        <w:spacing w:after="140"/>
        <w:jc w:val="left"/>
      </w:pPr>
      <w:r>
        <w:t xml:space="preserve">[Skriv här]</w:t>
      </w:r>
    </w:p>
    <w:p>
      <w:pPr>
        <w:spacing w:after="140"/>
        <w:jc w:val="left"/>
      </w:pPr>
      <w:r>
        <w:rPr>
          <w:b/>
          <w:bCs/>
        </w:rPr>
        <w:t xml:space="preserve">Kompetenser där styrelsen har stor överlappning</w:t>
      </w:r>
    </w:p>
    <w:p>
      <w:pPr>
        <w:spacing w:after="140"/>
        <w:jc w:val="left"/>
      </w:pPr>
      <w:r>
        <w:t xml:space="preserve">Överlapp är inte i sig ett problem. I kritiska områden kan flera kunniga ledamöter minska personberoendet.</w:t>
      </w:r>
    </w:p>
    <w:p>
      <w:pPr>
        <w:spacing w:after="140"/>
        <w:jc w:val="left"/>
      </w:pPr>
      <w:r>
        <w:t xml:space="preserve">[Skriv här]</w:t>
      </w:r>
    </w:p>
    <w:p>
      <w:pPr>
        <w:pStyle w:val="Heading2"/>
        <w:spacing w:after="120" w:before="220"/>
      </w:pPr>
      <w:r>
        <w:t xml:space="preserve">5. Åtgärdsplan</w:t>
      </w:r>
    </w:p>
    <w:tbl>
      <w:tblPr>
        <w:tblW w:type="pct" w:w="100%"/>
        <w:tblBorders>
          <w:top w:val="single" w:color="BFBFBF" w:sz="2"/>
          <w:left w:val="single" w:color="BFBFBF" w:sz="2"/>
          <w:bottom w:val="single" w:color="BFBFBF" w:sz="2"/>
          <w:right w:val="single" w:color="BFBFBF" w:sz="2"/>
          <w:insideH w:val="single" w:color="BFBFBF" w:sz="2"/>
          <w:insideV w:val="single" w:color="BFBFBF" w:sz="2"/>
        </w:tblBorders>
      </w:tblPr>
      <w:tblGrid>
        <w:gridCol w:w="2256"/>
        <w:gridCol w:w="2256"/>
        <w:gridCol w:w="2256"/>
        <w:gridCol w:w="2256"/>
      </w:tblGrid>
      <w:tr>
        <w:trPr>
          <w:tblHeader/>
        </w:trPr>
        <w:tc>
          <w:tcPr>
            <w:shd w:fill="F2F2F2"/>
            <w:tcMar>
              <w:top w:type="dxa" w:w="60"/>
              <w:left w:type="dxa" w:w="100"/>
              <w:bottom w:type="dxa" w:w="60"/>
              <w:right w:type="dxa" w:w="100"/>
            </w:tcMar>
          </w:tcPr>
          <w:p>
            <w:pPr>
              <w:spacing w:after="0"/>
              <w:jc w:val="left"/>
            </w:pPr>
            <w:r>
              <w:rPr>
                <w:b/>
                <w:bCs/>
              </w:rPr>
              <w:t xml:space="preserve">Åtgärd</w:t>
            </w:r>
          </w:p>
        </w:tc>
        <w:tc>
          <w:tcPr>
            <w:shd w:fill="F2F2F2"/>
            <w:tcMar>
              <w:top w:type="dxa" w:w="60"/>
              <w:left w:type="dxa" w:w="100"/>
              <w:bottom w:type="dxa" w:w="60"/>
              <w:right w:type="dxa" w:w="100"/>
            </w:tcMar>
          </w:tcPr>
          <w:p>
            <w:pPr>
              <w:spacing w:after="0"/>
              <w:jc w:val="left"/>
            </w:pPr>
            <w:r>
              <w:rPr>
                <w:b/>
                <w:bCs/>
              </w:rPr>
              <w:t xml:space="preserve">Ansvarig</w:t>
            </w:r>
          </w:p>
        </w:tc>
        <w:tc>
          <w:tcPr>
            <w:shd w:fill="F2F2F2"/>
            <w:tcMar>
              <w:top w:type="dxa" w:w="60"/>
              <w:left w:type="dxa" w:w="100"/>
              <w:bottom w:type="dxa" w:w="60"/>
              <w:right w:type="dxa" w:w="100"/>
            </w:tcMar>
          </w:tcPr>
          <w:p>
            <w:pPr>
              <w:spacing w:after="0"/>
              <w:jc w:val="left"/>
            </w:pPr>
            <w:r>
              <w:rPr>
                <w:b/>
                <w:bCs/>
              </w:rPr>
              <w:t xml:space="preserve">Klart senast</w:t>
            </w:r>
          </w:p>
        </w:tc>
        <w:tc>
          <w:tcPr>
            <w:shd w:fill="F2F2F2"/>
            <w:tcMar>
              <w:top w:type="dxa" w:w="60"/>
              <w:left w:type="dxa" w:w="100"/>
              <w:bottom w:type="dxa" w:w="60"/>
              <w:right w:type="dxa" w:w="100"/>
            </w:tcMar>
          </w:tcPr>
          <w:p>
            <w:pPr>
              <w:spacing w:after="0"/>
              <w:jc w:val="left"/>
            </w:pPr>
            <w:r>
              <w:rPr>
                <w:b/>
                <w:bCs/>
              </w:rPr>
              <w:t xml:space="preserve">Uppföljning</w:t>
            </w:r>
          </w:p>
        </w:tc>
      </w:tr>
      <w:tr>
        <w:trPr>
          <w:tblHeader w:val="false"/>
        </w:trPr>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bl>
    <w:p>
      <w:pPr>
        <w:spacing w:after="140"/>
      </w:pP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lvl>
  </w:abstractNum>
  <w:num w:numId="1">
    <w:abstractNumId w:val="1"/>
    <w:lvlOverride w:ilvl="0">
      <w:startOverride w:val="1"/>
    </w:lvlOverride>
  </w:num>
  <w:num w:numId="2">
    <w:abstractNumId w:val="2"/>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Calibri" w:cs="Calibri" w:eastAsia="Calibri" w:hAnsi="Calibri"/>
      <w:b/>
      <w:bCs/>
      <w:color w:val="000000"/>
      <w:sz w:val="32"/>
      <w:szCs w:val="32"/>
    </w:rPr>
  </w:style>
  <w:style w:type="paragraph" w:styleId="Heading2">
    <w:name w:val="Heading 2"/>
    <w:basedOn w:val="Normal"/>
    <w:next w:val="Normal"/>
    <w:qFormat/>
    <w:rPr>
      <w:rFonts w:ascii="Calibri" w:cs="Calibri" w:eastAsia="Calibri" w:hAnsi="Calibri"/>
      <w:b/>
      <w:bCs/>
      <w:color w:val="000000"/>
      <w:sz w:val="26"/>
      <w:szCs w:val="26"/>
    </w:rPr>
  </w:style>
  <w:style w:type="paragraph" w:styleId="Heading3">
    <w:name w:val="Heading 3"/>
    <w:basedOn w:val="Normal"/>
    <w:next w:val="Normal"/>
    <w:qFormat/>
    <w:rPr>
      <w:rFonts w:ascii="Calibri" w:cs="Calibri" w:eastAsia="Calibri" w:hAnsi="Calibri"/>
      <w:b/>
      <w:bCs/>
      <w:color w:val="000000"/>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2026-08-20T09:09:38.917Z</dcterms:created>
  <dcterms:modified xsi:type="dcterms:W3CDTF">2026-08-20T09:09:38.918Z</dcterms:modified>
</cp:coreProperties>
</file>

<file path=docProps/custom.xml><?xml version="1.0" encoding="utf-8"?>
<Properties xmlns="http://schemas.openxmlformats.org/officeDocument/2006/custom-properties" xmlns:vt="http://schemas.openxmlformats.org/officeDocument/2006/docPropsVTypes"/>
</file>