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Möteskort för konstruktiv oenighet</w:t>
      </w:r>
    </w:p>
    <w:p>
      <w:pPr>
        <w:spacing w:after="140"/>
        <w:jc w:val="left"/>
      </w:pPr>
      <w:r>
        <w:t xml:space="preserve">[Organisationens namn] (org.nr [xxxxxx-xxxx], om organisationen har ett)</w:t>
      </w:r>
    </w:p>
    <w:p>
      <w:pPr>
        <w:spacing w:after="140"/>
        <w:jc w:val="left"/>
      </w:pPr>
      <w:r>
        <w:t xml:space="preserve">Möte [ÅÅÅÅ-MM-DD], punkt [nr] på dagordningen</w:t>
      </w:r>
    </w:p>
    <w:p>
      <w:pPr>
        <w:spacing w:after="140"/>
        <w:jc w:val="left"/>
      </w:pPr>
      <w:r>
        <w:rPr>
          <w:i/>
          <w:iCs/>
        </w:rPr>
        <w:t xml:space="preserve">Kortet är internt arbetsmaterial och ersätter inte styrelseprotokollet. I aktiebolag och ekonomiska föreningar, inklusive bostadsrättsföreningar, har en ledamot rätt att få en avvikande mening antecknad i protokollet. För ideella föreningar och stiftelser bedöms formerna utifrån tillämpliga regler, stadgar eller stiftelseförordnande.</w:t>
      </w:r>
    </w:p>
    <w:p>
      <w:pPr>
        <w:spacing w:after="140"/>
        <w:jc w:val="left"/>
      </w:pPr>
      <w:r>
        <w:t xml:space="preserve">Välj en eller två metoder per fråga, inte alla. Vilken som passar beror på vad som riskerar att gå fel i just den frågan.</w:t>
      </w:r>
    </w:p>
    <w:p>
      <w:pPr>
        <w:pStyle w:val="Heading2"/>
        <w:spacing w:after="120" w:before="220"/>
      </w:pPr>
      <w:r>
        <w:t xml:space="preserve">Metod 1. Individuell position först</w:t>
      </w:r>
    </w:p>
    <w:p>
      <w:pPr>
        <w:spacing w:after="140"/>
        <w:jc w:val="left"/>
      </w:pPr>
      <w:r>
        <w:rPr>
          <w:b/>
          <w:bCs/>
        </w:rPr>
        <w:t xml:space="preserve">Passar när</w:t>
      </w:r>
      <w:r>
        <w:t xml:space="preserve"> frågan är viktig och gruppen riskerar att påverkas av den som talar först.</w:t>
      </w:r>
    </w:p>
    <w:p>
      <w:pPr>
        <w:pStyle w:val="ListParagraph"/>
        <w:numPr>
          <w:ilvl w:val="0"/>
          <w:numId w:val="2"/>
        </w:numPr>
        <w:spacing w:after="60"/>
      </w:pPr>
      <w:r>
        <w:t xml:space="preserve">Presentera frågan och underlaget.</w:t>
      </w:r>
    </w:p>
    <w:p>
      <w:pPr>
        <w:pStyle w:val="ListParagraph"/>
        <w:numPr>
          <w:ilvl w:val="0"/>
          <w:numId w:val="2"/>
        </w:numPr>
        <w:spacing w:after="60"/>
      </w:pPr>
      <w:r>
        <w:t xml:space="preserve">Ge alla två till fem minuter att skriva sin egen bedömning.</w:t>
      </w:r>
    </w:p>
    <w:p>
      <w:pPr>
        <w:pStyle w:val="ListParagraph"/>
        <w:numPr>
          <w:ilvl w:val="0"/>
          <w:numId w:val="2"/>
        </w:numPr>
        <w:spacing w:after="60"/>
      </w:pPr>
      <w:r>
        <w:t xml:space="preserve">Samla in bedömningarna och gör dem synliga för alla.</w:t>
      </w:r>
    </w:p>
    <w:p>
      <w:pPr>
        <w:pStyle w:val="ListParagraph"/>
        <w:numPr>
          <w:ilvl w:val="0"/>
          <w:numId w:val="2"/>
        </w:numPr>
        <w:spacing w:after="60"/>
      </w:pPr>
      <w:r>
        <w:t xml:space="preserve">Öppna diskussionen först därefter.</w:t>
      </w:r>
    </w:p>
    <w:p>
      <w:pPr>
        <w:spacing w:after="140"/>
        <w:jc w:val="left"/>
      </w:pPr>
      <w:r>
        <w:rPr>
          <w:b/>
          <w:bCs/>
        </w:rPr>
        <w:t xml:space="preserve">Fråga:</w:t>
      </w:r>
      <w:r>
        <w:t xml:space="preserve"> vad är din bedömning innan du hört de andras?</w:t>
      </w:r>
    </w:p>
    <w:p>
      <w:pPr>
        <w:pStyle w:val="Heading2"/>
        <w:spacing w:after="120" w:before="220"/>
      </w:pPr>
      <w:r>
        <w:t xml:space="preserve">Metod 2. Laget runt</w:t>
      </w:r>
    </w:p>
    <w:p>
      <w:pPr>
        <w:spacing w:after="140"/>
        <w:jc w:val="left"/>
      </w:pPr>
      <w:r>
        <w:rPr>
          <w:b/>
          <w:bCs/>
        </w:rPr>
        <w:t xml:space="preserve">Passar när</w:t>
      </w:r>
      <w:r>
        <w:t xml:space="preserve"> några personer normalt tar mycket talutrymme.</w:t>
      </w:r>
    </w:p>
    <w:p>
      <w:pPr>
        <w:pStyle w:val="ListParagraph"/>
        <w:numPr>
          <w:ilvl w:val="0"/>
          <w:numId w:val="3"/>
        </w:numPr>
        <w:spacing w:after="60"/>
      </w:pPr>
      <w:r>
        <w:t xml:space="preserve">Ordföranden ställer en tydlig fråga.</w:t>
      </w:r>
    </w:p>
    <w:p>
      <w:pPr>
        <w:pStyle w:val="ListParagraph"/>
        <w:numPr>
          <w:ilvl w:val="0"/>
          <w:numId w:val="3"/>
        </w:numPr>
        <w:spacing w:after="60"/>
      </w:pPr>
      <w:r>
        <w:t xml:space="preserve">Varje ledamot ger kort sin syn utan att avbrytas.</w:t>
      </w:r>
    </w:p>
    <w:p>
      <w:pPr>
        <w:pStyle w:val="ListParagraph"/>
        <w:numPr>
          <w:ilvl w:val="0"/>
          <w:numId w:val="3"/>
        </w:numPr>
        <w:spacing w:after="60"/>
      </w:pPr>
      <w:r>
        <w:t xml:space="preserve">Diskussionen öppnas först efter rundan.</w:t>
      </w:r>
    </w:p>
    <w:p>
      <w:pPr>
        <w:spacing w:after="140"/>
        <w:jc w:val="left"/>
      </w:pPr>
      <w:r>
        <w:rPr>
          <w:b/>
          <w:bCs/>
        </w:rPr>
        <w:t xml:space="preserve">Fråga:</w:t>
      </w:r>
      <w:r>
        <w:t xml:space="preserve"> vad är det viktigaste styrelsen behöver väga in?</w:t>
      </w:r>
    </w:p>
    <w:p>
      <w:pPr>
        <w:pStyle w:val="Heading2"/>
        <w:spacing w:after="120" w:before="220"/>
      </w:pPr>
      <w:r>
        <w:t xml:space="preserve">Metod 3. Utsedd kritiker, djävulens advokat</w:t>
      </w:r>
    </w:p>
    <w:p>
      <w:pPr>
        <w:spacing w:after="140"/>
        <w:jc w:val="left"/>
      </w:pPr>
      <w:r>
        <w:rPr>
          <w:b/>
          <w:bCs/>
        </w:rPr>
        <w:t xml:space="preserve">Passar när</w:t>
      </w:r>
      <w:r>
        <w:t xml:space="preserve"> ett alternativ har starkt stöd tidigt.</w:t>
      </w:r>
    </w:p>
    <w:p>
      <w:pPr>
        <w:pStyle w:val="ListParagraph"/>
        <w:numPr>
          <w:ilvl w:val="0"/>
          <w:numId w:val="4"/>
        </w:numPr>
        <w:spacing w:after="60"/>
      </w:pPr>
      <w:r>
        <w:t xml:space="preserve">En ledamot får i uppgift att argumentera mot huvudalternativet.</w:t>
      </w:r>
    </w:p>
    <w:p>
      <w:pPr>
        <w:pStyle w:val="ListParagraph"/>
        <w:numPr>
          <w:ilvl w:val="0"/>
          <w:numId w:val="4"/>
        </w:numPr>
        <w:spacing w:after="60"/>
      </w:pPr>
      <w:r>
        <w:t xml:space="preserve">Uppgiften är att göra kritiken så stark som möjligt.</w:t>
      </w:r>
    </w:p>
    <w:p>
      <w:pPr>
        <w:pStyle w:val="ListParagraph"/>
        <w:numPr>
          <w:ilvl w:val="0"/>
          <w:numId w:val="4"/>
        </w:numPr>
        <w:spacing w:after="60"/>
      </w:pPr>
      <w:r>
        <w:t xml:space="preserve">Gruppen bemöter argumenten sakligt.</w:t>
      </w:r>
    </w:p>
    <w:p>
      <w:pPr>
        <w:spacing w:after="140"/>
        <w:jc w:val="left"/>
      </w:pPr>
      <w:r>
        <w:rPr>
          <w:b/>
          <w:bCs/>
        </w:rPr>
        <w:t xml:space="preserve">Viktigt:</w:t>
      </w:r>
      <w:r>
        <w:t xml:space="preserve"> rotera rollen och använd den för att pröva argument, inte som ersättning för verkliga invändningar. Forskning som jämför utsedd kritiker med genuin oenighet ger starkare stöd för den genuina oenigheten. Om rollen inte roterar finns dessutom en risk att kritiken förknippas med en person i stället för med arbetssättet.</w:t>
      </w:r>
    </w:p>
    <w:p>
      <w:pPr>
        <w:pStyle w:val="Heading2"/>
        <w:spacing w:after="120" w:before="220"/>
      </w:pPr>
      <w:r>
        <w:t xml:space="preserve">Metod 4. Steelman</w:t>
      </w:r>
    </w:p>
    <w:p>
      <w:pPr>
        <w:spacing w:after="140"/>
        <w:jc w:val="left"/>
      </w:pPr>
      <w:r>
        <w:rPr>
          <w:b/>
          <w:bCs/>
        </w:rPr>
        <w:t xml:space="preserve">Passar när</w:t>
      </w:r>
      <w:r>
        <w:t xml:space="preserve"> diskussionen polariseras.</w:t>
      </w:r>
    </w:p>
    <w:p>
      <w:pPr>
        <w:spacing w:after="140"/>
        <w:jc w:val="left"/>
      </w:pPr>
      <w:r>
        <w:t xml:space="preserve">Innan en ledamot kritiserar ett argument ska hen formulera motpartens argument så starkt att motparten godtar beskrivningen.</w:t>
      </w:r>
    </w:p>
    <w:p>
      <w:pPr>
        <w:spacing w:after="140"/>
        <w:jc w:val="left"/>
      </w:pPr>
      <w:r>
        <w:rPr>
          <w:b/>
          <w:bCs/>
        </w:rPr>
        <w:t xml:space="preserve">Fråga:</w:t>
      </w:r>
      <w:r>
        <w:t xml:space="preserve"> kan du först beskriva det starkaste argumentet för den andra ståndpunkten?</w:t>
      </w:r>
    </w:p>
    <w:p>
      <w:pPr>
        <w:pStyle w:val="Heading2"/>
        <w:spacing w:after="120" w:before="220"/>
      </w:pPr>
      <w:r>
        <w:t xml:space="preserve">Metod 5. Minoritetens sammanfattning</w:t>
      </w:r>
    </w:p>
    <w:p>
      <w:pPr>
        <w:spacing w:after="140"/>
        <w:jc w:val="left"/>
      </w:pPr>
      <w:r>
        <w:rPr>
          <w:b/>
          <w:bCs/>
        </w:rPr>
        <w:t xml:space="preserve">Passar när</w:t>
      </w:r>
      <w:r>
        <w:t xml:space="preserve"> majoriteten verkar överens men någon fortfarande tvekar.</w:t>
      </w:r>
    </w:p>
    <w:p>
      <w:pPr>
        <w:spacing w:after="140"/>
        <w:jc w:val="left"/>
      </w:pPr>
      <w:r>
        <w:t xml:space="preserve">Be minoriteten sammanfatta tre saker.</w:t>
      </w:r>
    </w:p>
    <w:p>
      <w:pPr>
        <w:pStyle w:val="ListParagraph"/>
        <w:numPr>
          <w:ilvl w:val="0"/>
          <w:numId w:val="1"/>
        </w:numPr>
        <w:spacing w:after="60"/>
      </w:pPr>
      <w:r>
        <w:t xml:space="preserve">Vad är vår viktigaste invändning?</w:t>
      </w:r>
    </w:p>
    <w:p>
      <w:pPr>
        <w:pStyle w:val="ListParagraph"/>
        <w:numPr>
          <w:ilvl w:val="0"/>
          <w:numId w:val="1"/>
        </w:numPr>
        <w:spacing w:after="60"/>
      </w:pPr>
      <w:r>
        <w:t xml:space="preserve">Vilken risk anser vi underskattad?</w:t>
      </w:r>
    </w:p>
    <w:p>
      <w:pPr>
        <w:pStyle w:val="ListParagraph"/>
        <w:numPr>
          <w:ilvl w:val="0"/>
          <w:numId w:val="1"/>
        </w:numPr>
        <w:spacing w:after="60"/>
      </w:pPr>
      <w:r>
        <w:t xml:space="preserve">Vad skulle behöva ändras för att vi skulle stödja förslaget?</w:t>
      </w:r>
    </w:p>
    <w:p>
      <w:pPr>
        <w:spacing w:after="140"/>
        <w:jc w:val="left"/>
      </w:pPr>
      <w:r>
        <w:t xml:space="preserve">Syftet är inte vetorätt. Syftet är att viktig information inte ska försvinna.</w:t>
      </w:r>
    </w:p>
    <w:p>
      <w:pPr>
        <w:pStyle w:val="Heading2"/>
        <w:spacing w:after="120" w:before="220"/>
      </w:pPr>
      <w:r>
        <w:t xml:space="preserve">Metod 6. Premortem</w:t>
      </w:r>
    </w:p>
    <w:p>
      <w:pPr>
        <w:spacing w:after="140"/>
        <w:jc w:val="left"/>
      </w:pPr>
      <w:r>
        <w:rPr>
          <w:b/>
          <w:bCs/>
        </w:rPr>
        <w:t xml:space="preserve">Passar när</w:t>
      </w:r>
      <w:r>
        <w:t xml:space="preserve"> beslutet är stort, riskfyllt eller svårt att ångra. Metoden beskrevs 2007 av beslutsforskaren Gary Klein. Hans arbete gäller projektbeslut i allmänhet, så tillämpningen på styrelser är en praktisk överföring.</w:t>
      </w:r>
    </w:p>
    <w:p>
      <w:pPr>
        <w:spacing w:after="140"/>
        <w:jc w:val="left"/>
      </w:pPr>
      <w:r>
        <w:t xml:space="preserve">Ordföranden ställer frågan, gärna med en tidshorisont som passar beslutet:</w:t>
      </w:r>
    </w:p>
    <w:p>
      <w:pPr>
        <w:pStyle w:val="ListParagraph"/>
        <w:numPr>
          <w:ilvl w:val="0"/>
          <w:numId w:val="5"/>
        </w:numPr>
        <w:spacing w:after="60"/>
      </w:pPr>
      <w:r>
        <w:t xml:space="preserve">Föreställ er att beslutet genomfördes och att det tre år senare visade sig vara ett tydligt misslyckande. Vad hände?</w:t>
      </w:r>
    </w:p>
    <w:p>
      <w:pPr>
        <w:pStyle w:val="ListParagraph"/>
        <w:numPr>
          <w:ilvl w:val="0"/>
          <w:numId w:val="5"/>
        </w:numPr>
        <w:spacing w:after="60"/>
      </w:pPr>
      <w:r>
        <w:t xml:space="preserve">Låt var och en reflektera enskilt först.</w:t>
      </w:r>
    </w:p>
    <w:p>
      <w:pPr>
        <w:pStyle w:val="ListParagraph"/>
        <w:numPr>
          <w:ilvl w:val="0"/>
          <w:numId w:val="5"/>
        </w:numPr>
        <w:spacing w:after="60"/>
      </w:pPr>
      <w:r>
        <w:t xml:space="preserve">Samla orsakerna till misslyckandet.</w:t>
      </w:r>
    </w:p>
    <w:p>
      <w:pPr>
        <w:pStyle w:val="ListParagraph"/>
        <w:numPr>
          <w:ilvl w:val="0"/>
          <w:numId w:val="5"/>
        </w:numPr>
        <w:spacing w:after="60"/>
      </w:pPr>
      <w:r>
        <w:t xml:space="preserve">Prioritera de största riskerna.</w:t>
      </w:r>
    </w:p>
    <w:p>
      <w:pPr>
        <w:pStyle w:val="ListParagraph"/>
        <w:numPr>
          <w:ilvl w:val="0"/>
          <w:numId w:val="5"/>
        </w:numPr>
        <w:spacing w:after="60"/>
      </w:pPr>
      <w:r>
        <w:t xml:space="preserve">Bestäm förebyggande åtgärder och tidiga signaler.</w:t>
      </w:r>
    </w:p>
    <w:p>
      <w:pPr>
        <w:pStyle w:val="Heading2"/>
        <w:spacing w:after="120" w:before="220"/>
      </w:pPr>
      <w:r>
        <w:t xml:space="preserve">Metod 7. Vad saknas?</w:t>
      </w:r>
    </w:p>
    <w:p>
      <w:pPr>
        <w:spacing w:after="140"/>
        <w:jc w:val="left"/>
      </w:pPr>
      <w:r>
        <w:rPr>
          <w:b/>
          <w:bCs/>
        </w:rPr>
        <w:t xml:space="preserve">Passar när</w:t>
      </w:r>
      <w:r>
        <w:t xml:space="preserve"> diskussionen känns färdig ovanligt snabbt.</w:t>
      </w:r>
    </w:p>
    <w:p>
      <w:pPr>
        <w:spacing w:after="140"/>
        <w:jc w:val="left"/>
      </w:pPr>
      <w:r>
        <w:t xml:space="preserve">Ordföranden frågar:</w:t>
      </w:r>
    </w:p>
    <w:p>
      <w:pPr>
        <w:pStyle w:val="ListParagraph"/>
        <w:numPr>
          <w:ilvl w:val="0"/>
          <w:numId w:val="1"/>
        </w:numPr>
        <w:spacing w:after="60"/>
      </w:pPr>
      <w:r>
        <w:t xml:space="preserve">Vilket perspektiv har vi ännu inte hört?</w:t>
      </w:r>
    </w:p>
    <w:p>
      <w:pPr>
        <w:pStyle w:val="ListParagraph"/>
        <w:numPr>
          <w:ilvl w:val="0"/>
          <w:numId w:val="1"/>
        </w:numPr>
        <w:spacing w:after="60"/>
      </w:pPr>
      <w:r>
        <w:t xml:space="preserve">Vilken information saknar vi?</w:t>
      </w:r>
    </w:p>
    <w:p>
      <w:pPr>
        <w:pStyle w:val="ListParagraph"/>
        <w:numPr>
          <w:ilvl w:val="0"/>
          <w:numId w:val="1"/>
        </w:numPr>
        <w:spacing w:after="60"/>
      </w:pPr>
      <w:r>
        <w:t xml:space="preserve">Vad talar emot vår slutsats?</w:t>
      </w:r>
    </w:p>
    <w:p>
      <w:pPr>
        <w:pStyle w:val="ListParagraph"/>
        <w:numPr>
          <w:ilvl w:val="0"/>
          <w:numId w:val="1"/>
        </w:numPr>
        <w:spacing w:after="60"/>
      </w:pPr>
      <w:r>
        <w:t xml:space="preserve">Vad skulle en konkurrent, en medlem eller en extern kritiker säga?</w:t>
      </w:r>
    </w:p>
    <w:p>
      <w:pPr>
        <w:pStyle w:val="Heading2"/>
        <w:spacing w:after="120" w:before="220"/>
      </w:pPr>
      <w:r>
        <w:t xml:space="preserve">Metod 8. Ordföranden sist</w:t>
      </w:r>
    </w:p>
    <w:p>
      <w:pPr>
        <w:spacing w:after="140"/>
        <w:jc w:val="left"/>
      </w:pPr>
      <w:r>
        <w:rPr>
          <w:b/>
          <w:bCs/>
        </w:rPr>
        <w:t xml:space="preserve">Passar när</w:t>
      </w:r>
      <w:r>
        <w:t xml:space="preserve"> ordföranden har hög status eller en tydlig uppfattning.</w:t>
      </w:r>
    </w:p>
    <w:p>
      <w:pPr>
        <w:spacing w:after="140"/>
        <w:jc w:val="left"/>
      </w:pPr>
      <w:r>
        <w:t xml:space="preserve">Ordföranden leder diskussionen men väntar med sin egen bedömning tills övriga har sagt sitt.</w:t>
      </w:r>
    </w:p>
    <w:p>
      <w:pPr>
        <w:pStyle w:val="Heading2"/>
        <w:spacing w:after="120" w:before="220"/>
      </w:pPr>
      <w:r>
        <w:t xml:space="preserve">Välj metod inför mötet</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2256"/>
        <w:gridCol w:w="2256"/>
        <w:gridCol w:w="2256"/>
        <w:gridCol w:w="2256"/>
      </w:tblGrid>
      <w:tr>
        <w:trPr>
          <w:tblHeader/>
        </w:trPr>
        <w:tc>
          <w:tcPr>
            <w:shd w:fill="F2F2F2"/>
            <w:tcMar>
              <w:top w:type="dxa" w:w="60"/>
              <w:left w:type="dxa" w:w="100"/>
              <w:bottom w:type="dxa" w:w="60"/>
              <w:right w:type="dxa" w:w="100"/>
            </w:tcMar>
          </w:tcPr>
          <w:p>
            <w:pPr>
              <w:spacing w:after="0"/>
              <w:jc w:val="left"/>
            </w:pPr>
            <w:r>
              <w:rPr>
                <w:b/>
                <w:bCs/>
              </w:rPr>
              <w:t xml:space="preserve">Beslutsfråga</w:t>
            </w:r>
          </w:p>
        </w:tc>
        <w:tc>
          <w:tcPr>
            <w:shd w:fill="F2F2F2"/>
            <w:tcMar>
              <w:top w:type="dxa" w:w="60"/>
              <w:left w:type="dxa" w:w="100"/>
              <w:bottom w:type="dxa" w:w="60"/>
              <w:right w:type="dxa" w:w="100"/>
            </w:tcMar>
          </w:tcPr>
          <w:p>
            <w:pPr>
              <w:spacing w:after="0"/>
              <w:jc w:val="left"/>
            </w:pPr>
            <w:r>
              <w:rPr>
                <w:b/>
                <w:bCs/>
              </w:rPr>
              <w:t xml:space="preserve">Risk i gruppdiskussionen</w:t>
            </w:r>
          </w:p>
        </w:tc>
        <w:tc>
          <w:tcPr>
            <w:shd w:fill="F2F2F2"/>
            <w:tcMar>
              <w:top w:type="dxa" w:w="60"/>
              <w:left w:type="dxa" w:w="100"/>
              <w:bottom w:type="dxa" w:w="60"/>
              <w:right w:type="dxa" w:w="100"/>
            </w:tcMar>
          </w:tcPr>
          <w:p>
            <w:pPr>
              <w:spacing w:after="0"/>
              <w:jc w:val="left"/>
            </w:pPr>
            <w:r>
              <w:rPr>
                <w:b/>
                <w:bCs/>
              </w:rPr>
              <w:t xml:space="preserve">Vald metod</w:t>
            </w:r>
          </w:p>
        </w:tc>
        <w:tc>
          <w:tcPr>
            <w:shd w:fill="F2F2F2"/>
            <w:tcMar>
              <w:top w:type="dxa" w:w="60"/>
              <w:left w:type="dxa" w:w="100"/>
              <w:bottom w:type="dxa" w:w="60"/>
              <w:right w:type="dxa" w:w="100"/>
            </w:tcMar>
          </w:tcPr>
          <w:p>
            <w:pPr>
              <w:spacing w:after="0"/>
              <w:jc w:val="left"/>
            </w:pPr>
            <w:r>
              <w:rPr>
                <w:b/>
                <w:bCs/>
              </w:rPr>
              <w:t xml:space="preserve">Vem leder?</w:t>
            </w: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pStyle w:val="Heading2"/>
        <w:spacing w:after="120" w:before="220"/>
      </w:pPr>
      <w:r>
        <w:t xml:space="preserve">Efter diskussionen</w:t>
      </w:r>
    </w:p>
    <w:tbl>
      <w:tblPr>
        <w:tblW w:type="pct" w:w="100%"/>
        <w:tblBorders>
          <w:top w:val="single" w:color="BFBFBF" w:sz="2"/>
          <w:left w:val="single" w:color="BFBFBF" w:sz="2"/>
          <w:bottom w:val="single" w:color="BFBFBF" w:sz="2"/>
          <w:right w:val="single" w:color="BFBFBF" w:sz="2"/>
          <w:insideH w:val="single" w:color="BFBFBF" w:sz="2"/>
          <w:insideV w:val="single" w:color="BFBFBF" w:sz="2"/>
        </w:tblBorders>
      </w:tblPr>
      <w:tblGrid>
        <w:gridCol w:w="3008"/>
        <w:gridCol w:w="3008"/>
        <w:gridCol w:w="3008"/>
      </w:tblGrid>
      <w:tr>
        <w:trPr>
          <w:tblHeader/>
        </w:trPr>
        <w:tc>
          <w:tcPr>
            <w:shd w:fill="F2F2F2"/>
            <w:tcMar>
              <w:top w:type="dxa" w:w="60"/>
              <w:left w:type="dxa" w:w="100"/>
              <w:bottom w:type="dxa" w:w="60"/>
              <w:right w:type="dxa" w:w="100"/>
            </w:tcMar>
          </w:tcPr>
          <w:p>
            <w:pPr>
              <w:spacing w:after="0"/>
              <w:jc w:val="left"/>
            </w:pPr>
            <w:r>
              <w:rPr>
                <w:b/>
                <w:bCs/>
              </w:rPr>
              <w:t xml:space="preserve">Kontrollfråga</w:t>
            </w:r>
          </w:p>
        </w:tc>
        <w:tc>
          <w:tcPr>
            <w:shd w:fill="F2F2F2"/>
            <w:tcMar>
              <w:top w:type="dxa" w:w="60"/>
              <w:left w:type="dxa" w:w="100"/>
              <w:bottom w:type="dxa" w:w="60"/>
              <w:right w:type="dxa" w:w="100"/>
            </w:tcMar>
          </w:tcPr>
          <w:p>
            <w:pPr>
              <w:spacing w:after="0"/>
              <w:jc w:val="left"/>
            </w:pPr>
            <w:r>
              <w:rPr>
                <w:b/>
                <w:bCs/>
              </w:rPr>
              <w:t xml:space="preserve">Ja</w:t>
            </w:r>
          </w:p>
        </w:tc>
        <w:tc>
          <w:tcPr>
            <w:shd w:fill="F2F2F2"/>
            <w:tcMar>
              <w:top w:type="dxa" w:w="60"/>
              <w:left w:type="dxa" w:w="100"/>
              <w:bottom w:type="dxa" w:w="60"/>
              <w:right w:type="dxa" w:w="100"/>
            </w:tcMar>
          </w:tcPr>
          <w:p>
            <w:pPr>
              <w:spacing w:after="0"/>
              <w:jc w:val="left"/>
            </w:pPr>
            <w:r>
              <w:rPr>
                <w:b/>
                <w:bCs/>
              </w:rPr>
              <w:t xml:space="preserve">Nej</w:t>
            </w:r>
          </w:p>
        </w:tc>
      </w:tr>
      <w:tr>
        <w:trPr>
          <w:tblHeader w:val="false"/>
        </w:trPr>
        <w:tc>
          <w:tcPr>
            <w:tcMar>
              <w:top w:type="dxa" w:w="60"/>
              <w:left w:type="dxa" w:w="100"/>
              <w:bottom w:type="dxa" w:w="60"/>
              <w:right w:type="dxa" w:w="100"/>
            </w:tcMar>
          </w:tcPr>
          <w:p>
            <w:pPr>
              <w:spacing w:after="0"/>
              <w:jc w:val="left"/>
            </w:pPr>
            <w:r>
              <w:t xml:space="preserve">Kom nya perspektiv fram?</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Ändrades någon viktig bedömning?</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Blev antaganden eller risker tydligare?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Fick alla relevanta perspektiv utrymme?</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r>
        <w:trPr>
          <w:tblHeader w:val="false"/>
        </w:trPr>
        <w:tc>
          <w:tcPr>
            <w:tcMar>
              <w:top w:type="dxa" w:w="60"/>
              <w:left w:type="dxa" w:w="100"/>
              <w:bottom w:type="dxa" w:w="60"/>
              <w:right w:type="dxa" w:w="100"/>
            </w:tcMar>
          </w:tcPr>
          <w:p>
            <w:pPr>
              <w:spacing w:after="0"/>
              <w:jc w:val="left"/>
            </w:pPr>
            <w:r>
              <w:t xml:space="preserve">Behöver frågan mer tid innan beslut?</w:t>
            </w:r>
          </w:p>
        </w:tc>
        <w:tc>
          <w:tcPr>
            <w:tcMar>
              <w:top w:type="dxa" w:w="60"/>
              <w:left w:type="dxa" w:w="100"/>
              <w:bottom w:type="dxa" w:w="60"/>
              <w:right w:type="dxa" w:w="100"/>
            </w:tcMar>
          </w:tcPr>
          <w:p>
            <w:pPr>
              <w:spacing w:after="0"/>
              <w:jc w:val="left"/>
            </w:pPr>
          </w:p>
        </w:tc>
        <w:tc>
          <w:tcPr>
            <w:tcMar>
              <w:top w:type="dxa" w:w="60"/>
              <w:left w:type="dxa" w:w="100"/>
              <w:bottom w:type="dxa" w:w="60"/>
              <w:right w:type="dxa" w:w="100"/>
            </w:tcMar>
          </w:tcPr>
          <w:p>
            <w:pPr>
              <w:spacing w:after="0"/>
              <w:jc w:val="left"/>
            </w:pPr>
          </w:p>
        </w:tc>
      </w:tr>
    </w:tbl>
    <w:p>
      <w:pPr>
        <w:spacing w:after="140"/>
      </w:pPr>
    </w:p>
    <w:p>
      <w:pPr>
        <w:spacing w:after="140"/>
        <w:jc w:val="left"/>
      </w:pPr>
      <w:r>
        <w:rPr>
          <w:b/>
          <w:bCs/>
        </w:rPr>
        <w:t xml:space="preserve">Kort reflektion</w:t>
      </w:r>
    </w:p>
    <w:p>
      <w:pPr>
        <w:spacing w:after="140"/>
        <w:jc w:val="left"/>
      </w:pPr>
      <w:r>
        <w:t xml:space="preserve">[Skriv här]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2026-08-20T09:09:38.954Z</dcterms:created>
  <dcterms:modified xsi:type="dcterms:W3CDTF">2026-08-20T09:09:38.954Z</dcterms:modified>
</cp:coreProperties>
</file>

<file path=docProps/custom.xml><?xml version="1.0" encoding="utf-8"?>
<Properties xmlns="http://schemas.openxmlformats.org/officeDocument/2006/custom-properties" xmlns:vt="http://schemas.openxmlformats.org/officeDocument/2006/docPropsVTypes"/>
</file>