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Utvärdering av styrelsens samspel</w:t>
      </w:r>
    </w:p>
    <w:p>
      <w:pPr>
        <w:spacing w:after="140"/>
        <w:jc w:val="left"/>
      </w:pPr>
      <w:r>
        <w:t xml:space="preserve">[Organisationens namn] (org.nr [xxxxxx-xxxx], om organisationen har ett)</w:t>
      </w:r>
    </w:p>
    <w:p>
      <w:pPr>
        <w:spacing w:after="140"/>
        <w:jc w:val="left"/>
      </w:pPr>
      <w:r>
        <w:t xml:space="preserve">Avser perioden [ÅÅÅÅ-MM-DD] till [ÅÅÅÅ-MM-DD]</w:t>
      </w:r>
    </w:p>
    <w:p>
      <w:pPr>
        <w:spacing w:after="140"/>
        <w:jc w:val="left"/>
      </w:pPr>
      <w:r>
        <w:t xml:space="preserve">Ifylld av [namn, om svaren inte samlas in anonymt], datum [ÅÅÅÅ-MM-DD]</w:t>
      </w:r>
    </w:p>
    <w:p>
      <w:pPr>
        <w:pStyle w:val="Heading2"/>
        <w:spacing w:after="120" w:before="220"/>
      </w:pPr>
      <w:r>
        <w:t xml:space="preserve">Så fyller ni i</w:t>
      </w:r>
    </w:p>
    <w:p>
      <w:pPr>
        <w:spacing w:after="140"/>
        <w:jc w:val="left"/>
      </w:pPr>
      <w:r>
        <w:t xml:space="preserve">Varje ledamot bedömer påståendena enskilt före den gemensamma diskussionen. Samla in svaren enligt den metod ni har bestämt i förväg. Är svaren konfidentiella ska sammanställningen återge gruppens mönster utan namn. Det viktiga är inte betyget utan diskussionen som följer.</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Värde</w:t>
            </w:r>
          </w:p>
        </w:tc>
        <w:tc>
          <w:tcPr>
            <w:shd w:fill="F2F2F2"/>
            <w:tcMar>
              <w:top w:type="dxa" w:w="60"/>
              <w:left w:type="dxa" w:w="100"/>
              <w:bottom w:type="dxa" w:w="60"/>
              <w:right w:type="dxa" w:w="100"/>
            </w:tcMar>
          </w:tcPr>
          <w:p>
            <w:pPr>
              <w:spacing w:after="0"/>
              <w:jc w:val="left"/>
            </w:pPr>
            <w:r>
              <w:rPr>
                <w:b/>
                <w:bCs/>
              </w:rPr>
              <w:t xml:space="preserve">Betydelse</w:t>
            </w:r>
          </w:p>
        </w:tc>
      </w:tr>
      <w:tr>
        <w:trPr>
          <w:tblHeader w:val="false"/>
        </w:trPr>
        <w:tc>
          <w:tcPr>
            <w:tcMar>
              <w:top w:type="dxa" w:w="60"/>
              <w:left w:type="dxa" w:w="100"/>
              <w:bottom w:type="dxa" w:w="60"/>
              <w:right w:type="dxa" w:w="100"/>
            </w:tcMar>
          </w:tcPr>
          <w:p>
            <w:pPr>
              <w:spacing w:after="0"/>
              <w:jc w:val="left"/>
            </w:pPr>
            <w:r>
              <w:t xml:space="preserve">1</w:t>
            </w:r>
          </w:p>
        </w:tc>
        <w:tc>
          <w:tcPr>
            <w:tcMar>
              <w:top w:type="dxa" w:w="60"/>
              <w:left w:type="dxa" w:w="100"/>
              <w:bottom w:type="dxa" w:w="60"/>
              <w:right w:type="dxa" w:w="100"/>
            </w:tcMar>
          </w:tcPr>
          <w:p>
            <w:pPr>
              <w:spacing w:after="0"/>
              <w:jc w:val="left"/>
            </w:pPr>
            <w:r>
              <w:t xml:space="preserve">Stämmer inte alls</w:t>
            </w:r>
          </w:p>
        </w:tc>
      </w:tr>
      <w:tr>
        <w:trPr>
          <w:tblHeader w:val="false"/>
        </w:trPr>
        <w:tc>
          <w:tcPr>
            <w:tcMar>
              <w:top w:type="dxa" w:w="60"/>
              <w:left w:type="dxa" w:w="100"/>
              <w:bottom w:type="dxa" w:w="60"/>
              <w:right w:type="dxa" w:w="100"/>
            </w:tcMar>
          </w:tcPr>
          <w:p>
            <w:pPr>
              <w:spacing w:after="0"/>
              <w:jc w:val="left"/>
            </w:pPr>
            <w:r>
              <w:t xml:space="preserve">2</w:t>
            </w:r>
          </w:p>
        </w:tc>
        <w:tc>
          <w:tcPr>
            <w:tcMar>
              <w:top w:type="dxa" w:w="60"/>
              <w:left w:type="dxa" w:w="100"/>
              <w:bottom w:type="dxa" w:w="60"/>
              <w:right w:type="dxa" w:w="100"/>
            </w:tcMar>
          </w:tcPr>
          <w:p>
            <w:pPr>
              <w:spacing w:after="0"/>
              <w:jc w:val="left"/>
            </w:pPr>
            <w:r>
              <w:t xml:space="preserve">Stämmer i liten utsträckning</w:t>
            </w:r>
          </w:p>
        </w:tc>
      </w:tr>
      <w:tr>
        <w:trPr>
          <w:tblHeader w:val="false"/>
        </w:trPr>
        <w:tc>
          <w:tcPr>
            <w:tcMar>
              <w:top w:type="dxa" w:w="60"/>
              <w:left w:type="dxa" w:w="100"/>
              <w:bottom w:type="dxa" w:w="60"/>
              <w:right w:type="dxa" w:w="100"/>
            </w:tcMar>
          </w:tcPr>
          <w:p>
            <w:pPr>
              <w:spacing w:after="0"/>
              <w:jc w:val="left"/>
            </w:pPr>
            <w:r>
              <w:t xml:space="preserve">3</w:t>
            </w:r>
          </w:p>
        </w:tc>
        <w:tc>
          <w:tcPr>
            <w:tcMar>
              <w:top w:type="dxa" w:w="60"/>
              <w:left w:type="dxa" w:w="100"/>
              <w:bottom w:type="dxa" w:w="60"/>
              <w:right w:type="dxa" w:w="100"/>
            </w:tcMar>
          </w:tcPr>
          <w:p>
            <w:pPr>
              <w:spacing w:after="0"/>
              <w:jc w:val="left"/>
            </w:pPr>
            <w:r>
              <w:t xml:space="preserve">Stämmer delvis</w:t>
            </w:r>
          </w:p>
        </w:tc>
      </w:tr>
      <w:tr>
        <w:trPr>
          <w:tblHeader w:val="false"/>
        </w:trPr>
        <w:tc>
          <w:tcPr>
            <w:tcMar>
              <w:top w:type="dxa" w:w="60"/>
              <w:left w:type="dxa" w:w="100"/>
              <w:bottom w:type="dxa" w:w="60"/>
              <w:right w:type="dxa" w:w="100"/>
            </w:tcMar>
          </w:tcPr>
          <w:p>
            <w:pPr>
              <w:spacing w:after="0"/>
              <w:jc w:val="left"/>
            </w:pPr>
            <w:r>
              <w:t xml:space="preserve">4</w:t>
            </w:r>
          </w:p>
        </w:tc>
        <w:tc>
          <w:tcPr>
            <w:tcMar>
              <w:top w:type="dxa" w:w="60"/>
              <w:left w:type="dxa" w:w="100"/>
              <w:bottom w:type="dxa" w:w="60"/>
              <w:right w:type="dxa" w:w="100"/>
            </w:tcMar>
          </w:tcPr>
          <w:p>
            <w:pPr>
              <w:spacing w:after="0"/>
              <w:jc w:val="left"/>
            </w:pPr>
            <w:r>
              <w:t xml:space="preserve">Stämmer i hög utsträckning</w:t>
            </w:r>
          </w:p>
        </w:tc>
      </w:tr>
      <w:tr>
        <w:trPr>
          <w:tblHeader w:val="false"/>
        </w:trPr>
        <w:tc>
          <w:tcPr>
            <w:tcMar>
              <w:top w:type="dxa" w:w="60"/>
              <w:left w:type="dxa" w:w="100"/>
              <w:bottom w:type="dxa" w:w="60"/>
              <w:right w:type="dxa" w:w="100"/>
            </w:tcMar>
          </w:tcPr>
          <w:p>
            <w:pPr>
              <w:spacing w:after="0"/>
              <w:jc w:val="left"/>
            </w:pPr>
            <w:r>
              <w:t xml:space="preserve">5</w:t>
            </w:r>
          </w:p>
        </w:tc>
        <w:tc>
          <w:tcPr>
            <w:tcMar>
              <w:top w:type="dxa" w:w="60"/>
              <w:left w:type="dxa" w:w="100"/>
              <w:bottom w:type="dxa" w:w="60"/>
              <w:right w:type="dxa" w:w="100"/>
            </w:tcMar>
          </w:tcPr>
          <w:p>
            <w:pPr>
              <w:spacing w:after="0"/>
              <w:jc w:val="left"/>
            </w:pPr>
            <w:r>
              <w:t xml:space="preserve">Stämmer helt</w:t>
            </w:r>
          </w:p>
        </w:tc>
      </w:tr>
      <w:tr>
        <w:trPr>
          <w:tblHeader w:val="false"/>
        </w:trPr>
        <w:tc>
          <w:tcPr>
            <w:tcMar>
              <w:top w:type="dxa" w:w="60"/>
              <w:left w:type="dxa" w:w="100"/>
              <w:bottom w:type="dxa" w:w="60"/>
              <w:right w:type="dxa" w:w="100"/>
            </w:tcMar>
          </w:tcPr>
          <w:p>
            <w:pPr>
              <w:spacing w:after="0"/>
              <w:jc w:val="left"/>
            </w:pPr>
            <w:r>
              <w:t xml:space="preserve">Vet ej</w:t>
            </w:r>
          </w:p>
        </w:tc>
        <w:tc>
          <w:tcPr>
            <w:tcMar>
              <w:top w:type="dxa" w:w="60"/>
              <w:left w:type="dxa" w:w="100"/>
              <w:bottom w:type="dxa" w:w="60"/>
              <w:right w:type="dxa" w:w="100"/>
            </w:tcMar>
          </w:tcPr>
          <w:p>
            <w:pPr>
              <w:spacing w:after="0"/>
              <w:jc w:val="left"/>
            </w:pPr>
            <w:r>
              <w:t xml:space="preserve">Kan inte bedöma</w:t>
            </w:r>
          </w:p>
        </w:tc>
      </w:tr>
    </w:tbl>
    <w:p>
      <w:pPr>
        <w:spacing w:after="140"/>
      </w:pPr>
    </w:p>
    <w:p>
      <w:pPr>
        <w:pStyle w:val="Heading2"/>
        <w:spacing w:after="120" w:before="220"/>
      </w:pPr>
      <w:r>
        <w:t xml:space="preserve">1. Psykologisk trygghet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Påstående</w:t>
            </w:r>
          </w:p>
        </w:tc>
        <w:tc>
          <w:tcPr>
            <w:shd w:fill="F2F2F2"/>
            <w:tcMar>
              <w:top w:type="dxa" w:w="60"/>
              <w:left w:type="dxa" w:w="100"/>
              <w:bottom w:type="dxa" w:w="60"/>
              <w:right w:type="dxa" w:w="100"/>
            </w:tcMar>
          </w:tcPr>
          <w:p>
            <w:pPr>
              <w:spacing w:after="0"/>
              <w:jc w:val="left"/>
            </w:pPr>
            <w:r>
              <w:rPr>
                <w:b/>
                <w:bCs/>
              </w:rPr>
              <w:t xml:space="preserve">1–5</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Jag kan säga att jag inte förstår utan rädsla för att bli förlöjligad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Jag kan uttrycka en avvikande uppfattning även när andra verkar överens</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 kan ifrågasätta personer med hög status i styrelsen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Misstag och osäkerhet kan diskuteras öppet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2. Konstruktiv oenighet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Påstående</w:t>
            </w:r>
          </w:p>
        </w:tc>
        <w:tc>
          <w:tcPr>
            <w:shd w:fill="F2F2F2"/>
            <w:tcMar>
              <w:top w:type="dxa" w:w="60"/>
              <w:left w:type="dxa" w:w="100"/>
              <w:bottom w:type="dxa" w:w="60"/>
              <w:right w:type="dxa" w:w="100"/>
            </w:tcMar>
          </w:tcPr>
          <w:p>
            <w:pPr>
              <w:spacing w:after="0"/>
              <w:jc w:val="left"/>
            </w:pPr>
            <w:r>
              <w:rPr>
                <w:b/>
                <w:bCs/>
              </w:rPr>
              <w:t xml:space="preserve">1–5</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Vi prövar viktiga antaganden innan större beslut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Motargument tas på allvar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Oenighet handlar i huvudsak om sak, inte om person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 kan ändra uppfattning under en diskussion utan prestige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3. Delaktighet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Påstående</w:t>
            </w:r>
          </w:p>
        </w:tc>
        <w:tc>
          <w:tcPr>
            <w:shd w:fill="F2F2F2"/>
            <w:tcMar>
              <w:top w:type="dxa" w:w="60"/>
              <w:left w:type="dxa" w:w="100"/>
              <w:bottom w:type="dxa" w:w="60"/>
              <w:right w:type="dxa" w:w="100"/>
            </w:tcMar>
          </w:tcPr>
          <w:p>
            <w:pPr>
              <w:spacing w:after="0"/>
              <w:jc w:val="left"/>
            </w:pPr>
            <w:r>
              <w:rPr>
                <w:b/>
                <w:bCs/>
              </w:rPr>
              <w:t xml:space="preserve">1–5</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Alla ledamöter får rimligt utrymme att bidra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Enskilda personer dominerar inte diskussionerna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Ordföranden bjuder aktivt in den som varit tyst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Ledamöternas olika erfarenheter används i diskussionerna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4. Beslutsförmåga</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Påstående</w:t>
            </w:r>
          </w:p>
        </w:tc>
        <w:tc>
          <w:tcPr>
            <w:shd w:fill="F2F2F2"/>
            <w:tcMar>
              <w:top w:type="dxa" w:w="60"/>
              <w:left w:type="dxa" w:w="100"/>
              <w:bottom w:type="dxa" w:w="60"/>
              <w:right w:type="dxa" w:w="100"/>
            </w:tcMar>
          </w:tcPr>
          <w:p>
            <w:pPr>
              <w:spacing w:after="0"/>
              <w:jc w:val="left"/>
            </w:pPr>
            <w:r>
              <w:rPr>
                <w:b/>
                <w:bCs/>
              </w:rPr>
              <w:t xml:space="preserve">1–5</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Vi ägnar tillräcklig tid åt de viktigaste frågorna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 kan avsluta diskussioner och fatta tydliga beslut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Det är tydligt när vi utforskar en fråga och när beslut ska fattas</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När beslut är fattade kan styrelsen agera samlat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5. Förtroende och ansvar</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Påstående</w:t>
            </w:r>
          </w:p>
        </w:tc>
        <w:tc>
          <w:tcPr>
            <w:shd w:fill="F2F2F2"/>
            <w:tcMar>
              <w:top w:type="dxa" w:w="60"/>
              <w:left w:type="dxa" w:w="100"/>
              <w:bottom w:type="dxa" w:w="60"/>
              <w:right w:type="dxa" w:w="100"/>
            </w:tcMar>
          </w:tcPr>
          <w:p>
            <w:pPr>
              <w:spacing w:after="0"/>
              <w:jc w:val="left"/>
            </w:pPr>
            <w:r>
              <w:rPr>
                <w:b/>
                <w:bCs/>
              </w:rPr>
              <w:t xml:space="preserve">1–5</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Jag litar på att övriga ledamöter agerar för organisationens bästa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 kan ge varandra tydlig återkoppling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Bristande förberedelse eller engagemang hanteras när det uppstår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 diskuterar även frågor som är obekväma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Sammanställning</w:t>
      </w:r>
    </w:p>
    <w:p>
      <w:pPr>
        <w:spacing w:after="140"/>
        <w:jc w:val="left"/>
      </w:pPr>
      <w:r>
        <w:t xml:space="preserve">Fylls i av den som sammanställer svaren. Räkna först ut varje formulärs genomsnitt per område, med vet ej utelämnat. Saknar ett formulär bedömningar för ett område ingår det inte i det områdets sammanställning. Räkna sedan genomsnittet av de formulär som har ett områdesvärde. Redovisa hur många formulär som ingår. Spridning är skillnaden mellan högsta och lägsta områdesvärde.</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1504"/>
        <w:gridCol w:w="1504"/>
        <w:gridCol w:w="1504"/>
        <w:gridCol w:w="1504"/>
        <w:gridCol w:w="1504"/>
        <w:gridCol w:w="1504"/>
      </w:tblGrid>
      <w:tr>
        <w:trPr>
          <w:tblHeader/>
        </w:trPr>
        <w:tc>
          <w:tcPr>
            <w:shd w:fill="F2F2F2"/>
            <w:tcMar>
              <w:top w:type="dxa" w:w="60"/>
              <w:left w:type="dxa" w:w="100"/>
              <w:bottom w:type="dxa" w:w="60"/>
              <w:right w:type="dxa" w:w="100"/>
            </w:tcMar>
          </w:tcPr>
          <w:p>
            <w:pPr>
              <w:spacing w:after="0"/>
              <w:jc w:val="left"/>
            </w:pPr>
            <w:r>
              <w:rPr>
                <w:b/>
                <w:bCs/>
              </w:rPr>
              <w:t xml:space="preserve">Område</w:t>
            </w:r>
          </w:p>
        </w:tc>
        <w:tc>
          <w:tcPr>
            <w:shd w:fill="F2F2F2"/>
            <w:tcMar>
              <w:top w:type="dxa" w:w="60"/>
              <w:left w:type="dxa" w:w="100"/>
              <w:bottom w:type="dxa" w:w="60"/>
              <w:right w:type="dxa" w:w="100"/>
            </w:tcMar>
          </w:tcPr>
          <w:p>
            <w:pPr>
              <w:spacing w:after="0"/>
              <w:jc w:val="left"/>
            </w:pPr>
            <w:r>
              <w:rPr>
                <w:b/>
                <w:bCs/>
              </w:rPr>
              <w:t xml:space="preserve">Antal formulär</w:t>
            </w:r>
          </w:p>
        </w:tc>
        <w:tc>
          <w:tcPr>
            <w:shd w:fill="F2F2F2"/>
            <w:tcMar>
              <w:top w:type="dxa" w:w="60"/>
              <w:left w:type="dxa" w:w="100"/>
              <w:bottom w:type="dxa" w:w="60"/>
              <w:right w:type="dxa" w:w="100"/>
            </w:tcMar>
          </w:tcPr>
          <w:p>
            <w:pPr>
              <w:spacing w:after="0"/>
              <w:jc w:val="left"/>
            </w:pPr>
            <w:r>
              <w:rPr>
                <w:b/>
                <w:bCs/>
              </w:rPr>
              <w:t xml:space="preserve">Genomsnitt</w:t>
            </w:r>
          </w:p>
        </w:tc>
        <w:tc>
          <w:tcPr>
            <w:shd w:fill="F2F2F2"/>
            <w:tcMar>
              <w:top w:type="dxa" w:w="60"/>
              <w:left w:type="dxa" w:w="100"/>
              <w:bottom w:type="dxa" w:w="60"/>
              <w:right w:type="dxa" w:w="100"/>
            </w:tcMar>
          </w:tcPr>
          <w:p>
            <w:pPr>
              <w:spacing w:after="0"/>
              <w:jc w:val="left"/>
            </w:pPr>
            <w:r>
              <w:rPr>
                <w:b/>
                <w:bCs/>
              </w:rPr>
              <w:t xml:space="preserve">Högsta områdesvärde</w:t>
            </w:r>
          </w:p>
        </w:tc>
        <w:tc>
          <w:tcPr>
            <w:shd w:fill="F2F2F2"/>
            <w:tcMar>
              <w:top w:type="dxa" w:w="60"/>
              <w:left w:type="dxa" w:w="100"/>
              <w:bottom w:type="dxa" w:w="60"/>
              <w:right w:type="dxa" w:w="100"/>
            </w:tcMar>
          </w:tcPr>
          <w:p>
            <w:pPr>
              <w:spacing w:after="0"/>
              <w:jc w:val="left"/>
            </w:pPr>
            <w:r>
              <w:rPr>
                <w:b/>
                <w:bCs/>
              </w:rPr>
              <w:t xml:space="preserve">Lägsta områdesvärde</w:t>
            </w:r>
          </w:p>
        </w:tc>
        <w:tc>
          <w:tcPr>
            <w:shd w:fill="F2F2F2"/>
            <w:tcMar>
              <w:top w:type="dxa" w:w="60"/>
              <w:left w:type="dxa" w:w="100"/>
              <w:bottom w:type="dxa" w:w="60"/>
              <w:right w:type="dxa" w:w="100"/>
            </w:tcMar>
          </w:tcPr>
          <w:p>
            <w:pPr>
              <w:spacing w:after="0"/>
              <w:jc w:val="left"/>
            </w:pPr>
            <w:r>
              <w:rPr>
                <w:b/>
                <w:bCs/>
              </w:rPr>
              <w:t xml:space="preserve">Spridning</w:t>
            </w:r>
          </w:p>
        </w:tc>
      </w:tr>
      <w:tr>
        <w:trPr>
          <w:tblHeader w:val="false"/>
        </w:trPr>
        <w:tc>
          <w:tcPr>
            <w:tcMar>
              <w:top w:type="dxa" w:w="60"/>
              <w:left w:type="dxa" w:w="100"/>
              <w:bottom w:type="dxa" w:w="60"/>
              <w:right w:type="dxa" w:w="100"/>
            </w:tcMar>
          </w:tcPr>
          <w:p>
            <w:pPr>
              <w:spacing w:after="0"/>
              <w:jc w:val="left"/>
            </w:pPr>
            <w:r>
              <w:t xml:space="preserve">Psykologisk trygghet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Konstruktiv oenighet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Delaktighet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Beslutsförmåga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Förtroende och ansvar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Reflektionsfrågor</w:t>
      </w:r>
    </w:p>
    <w:p>
      <w:pPr>
        <w:spacing w:after="140"/>
        <w:jc w:val="left"/>
      </w:pPr>
      <w:r>
        <w:rPr>
          <w:b/>
          <w:bCs/>
        </w:rPr>
        <w:t xml:space="preserve">Vad fungerar särskilt bra i gruppen?</w:t>
      </w:r>
    </w:p>
    <w:p>
      <w:pPr>
        <w:spacing w:after="140"/>
        <w:jc w:val="left"/>
      </w:pPr>
      <w:r>
        <w:t xml:space="preserve">[Skriv här]</w:t>
      </w:r>
    </w:p>
    <w:p>
      <w:pPr>
        <w:spacing w:after="140"/>
        <w:jc w:val="left"/>
      </w:pPr>
      <w:r>
        <w:rPr>
          <w:b/>
          <w:bCs/>
        </w:rPr>
        <w:t xml:space="preserve">Var skiljer sig ledamöternas upplevelser mest?</w:t>
      </w:r>
    </w:p>
    <w:p>
      <w:pPr>
        <w:spacing w:after="140"/>
        <w:jc w:val="left"/>
      </w:pPr>
      <w:r>
        <w:t xml:space="preserve">[Skriv här]</w:t>
      </w:r>
    </w:p>
    <w:p>
      <w:pPr>
        <w:spacing w:after="140"/>
        <w:jc w:val="left"/>
      </w:pPr>
      <w:r>
        <w:rPr>
          <w:b/>
          <w:bCs/>
        </w:rPr>
        <w:t xml:space="preserve">Finns frågor eller beteenden som styrelsen tenderar att undvika?</w:t>
      </w:r>
    </w:p>
    <w:p>
      <w:pPr>
        <w:spacing w:after="140"/>
        <w:jc w:val="left"/>
      </w:pPr>
      <w:r>
        <w:t xml:space="preserve">[Skriv här]</w:t>
      </w:r>
    </w:p>
    <w:p>
      <w:pPr>
        <w:spacing w:after="140"/>
        <w:jc w:val="left"/>
      </w:pPr>
      <w:r>
        <w:rPr>
          <w:b/>
          <w:bCs/>
        </w:rPr>
        <w:t xml:space="preserve">Vad skulle göra våra diskussioner och beslut bättre?</w:t>
      </w:r>
    </w:p>
    <w:p>
      <w:pPr>
        <w:spacing w:after="140"/>
        <w:jc w:val="left"/>
      </w:pPr>
      <w:r>
        <w:t xml:space="preserve">[Skriv här]</w:t>
      </w:r>
    </w:p>
    <w:p>
      <w:pPr>
        <w:pStyle w:val="Heading2"/>
        <w:spacing w:after="120" w:before="220"/>
      </w:pPr>
      <w:r>
        <w:t xml:space="preserve">Tre åtgärder</w:t>
      </w:r>
    </w:p>
    <w:p>
      <w:pPr>
        <w:spacing w:after="140"/>
        <w:jc w:val="left"/>
      </w:pPr>
      <w:r>
        <w:t xml:space="preserve">Välj ett fåtal konkreta beteendeförändringar framför en lång lista.</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Åtgärd</w:t>
            </w:r>
          </w:p>
        </w:tc>
        <w:tc>
          <w:tcPr>
            <w:shd w:fill="F2F2F2"/>
            <w:tcMar>
              <w:top w:type="dxa" w:w="60"/>
              <w:left w:type="dxa" w:w="100"/>
              <w:bottom w:type="dxa" w:w="60"/>
              <w:right w:type="dxa" w:w="100"/>
            </w:tcMar>
          </w:tcPr>
          <w:p>
            <w:pPr>
              <w:spacing w:after="0"/>
              <w:jc w:val="left"/>
            </w:pPr>
            <w:r>
              <w:rPr>
                <w:b/>
                <w:bCs/>
              </w:rPr>
              <w:t xml:space="preserve">Ansvarig</w:t>
            </w:r>
          </w:p>
        </w:tc>
        <w:tc>
          <w:tcPr>
            <w:shd w:fill="F2F2F2"/>
            <w:tcMar>
              <w:top w:type="dxa" w:w="60"/>
              <w:left w:type="dxa" w:w="100"/>
              <w:bottom w:type="dxa" w:w="60"/>
              <w:right w:type="dxa" w:w="100"/>
            </w:tcMar>
          </w:tcPr>
          <w:p>
            <w:pPr>
              <w:spacing w:after="0"/>
              <w:jc w:val="left"/>
            </w:pPr>
            <w:r>
              <w:rPr>
                <w:b/>
                <w:bCs/>
              </w:rPr>
              <w:t xml:space="preserve">När börjar vi?</w:t>
            </w:r>
          </w:p>
        </w:tc>
        <w:tc>
          <w:tcPr>
            <w:shd w:fill="F2F2F2"/>
            <w:tcMar>
              <w:top w:type="dxa" w:w="60"/>
              <w:left w:type="dxa" w:w="100"/>
              <w:bottom w:type="dxa" w:w="60"/>
              <w:right w:type="dxa" w:w="100"/>
            </w:tcMar>
          </w:tcPr>
          <w:p>
            <w:pPr>
              <w:spacing w:after="0"/>
              <w:jc w:val="left"/>
            </w:pPr>
            <w:r>
              <w:rPr>
                <w:b/>
                <w:bCs/>
              </w:rPr>
              <w:t xml:space="preserve">När följer vi upp?</w:t>
            </w: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Kort pulsmätning</w:t>
      </w:r>
    </w:p>
    <w:p>
      <w:pPr>
        <w:spacing w:after="140"/>
        <w:jc w:val="left"/>
      </w:pPr>
      <w:r>
        <w:t xml:space="preserve">Mellan de större utvärderingarna kan ni använda fem fasta påståenden. Bedöm dem på samma femgradiga skala eller använd dem som utgångspunkt för ett samtal. Behåll samma metod mellan tillfällena om ni vill följa förändring över tid.</w:t>
      </w:r>
    </w:p>
    <w:p>
      <w:pPr>
        <w:pStyle w:val="ListParagraph"/>
        <w:numPr>
          <w:ilvl w:val="0"/>
          <w:numId w:val="1"/>
        </w:numPr>
        <w:spacing w:after="60"/>
      </w:pPr>
      <w:r>
        <w:t xml:space="preserve">Alla relevanta perspektiv kommer fram.</w:t>
      </w:r>
    </w:p>
    <w:p>
      <w:pPr>
        <w:pStyle w:val="ListParagraph"/>
        <w:numPr>
          <w:ilvl w:val="0"/>
          <w:numId w:val="1"/>
        </w:numPr>
        <w:spacing w:after="60"/>
      </w:pPr>
      <w:r>
        <w:t xml:space="preserve">Vi vågar säga emot varandra.</w:t>
      </w:r>
    </w:p>
    <w:p>
      <w:pPr>
        <w:pStyle w:val="ListParagraph"/>
        <w:numPr>
          <w:ilvl w:val="0"/>
          <w:numId w:val="1"/>
        </w:numPr>
        <w:spacing w:after="60"/>
      </w:pPr>
      <w:r>
        <w:t xml:space="preserve">Vi lyssnar på argument som utmanar vår uppfattning.</w:t>
      </w:r>
    </w:p>
    <w:p>
      <w:pPr>
        <w:pStyle w:val="ListParagraph"/>
        <w:numPr>
          <w:ilvl w:val="0"/>
          <w:numId w:val="1"/>
        </w:numPr>
        <w:spacing w:after="60"/>
      </w:pPr>
      <w:r>
        <w:t xml:space="preserve">Vi diskuterar rätt frågor.</w:t>
      </w:r>
    </w:p>
    <w:p>
      <w:pPr>
        <w:pStyle w:val="ListParagraph"/>
        <w:numPr>
          <w:ilvl w:val="0"/>
          <w:numId w:val="1"/>
        </w:numPr>
        <w:spacing w:after="60"/>
      </w:pPr>
      <w:r>
        <w:t xml:space="preserve">Gruppdiskussionen förbättrar våra beslut.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2026-08-20T09:09:38.654Z</dcterms:created>
  <dcterms:modified xsi:type="dcterms:W3CDTF">2026-08-20T09:09:38.654Z</dcterms:modified>
</cp:coreProperties>
</file>

<file path=docProps/custom.xml><?xml version="1.0" encoding="utf-8"?>
<Properties xmlns="http://schemas.openxmlformats.org/officeDocument/2006/custom-properties" xmlns:vt="http://schemas.openxmlformats.org/officeDocument/2006/docPropsVTypes"/>
</file>